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9FC13" w14:textId="77777777" w:rsidR="00A57732" w:rsidRDefault="00A57732" w:rsidP="00A57732">
      <w:r>
        <w:t>INTRODUCTION</w:t>
      </w:r>
    </w:p>
    <w:p w14:paraId="1FF87238" w14:textId="77777777" w:rsidR="00A57732" w:rsidRDefault="00A57732" w:rsidP="00A57732">
      <w:r>
        <w:t>Traumatic brain injury (TBI) often has long-term or life-long</w:t>
      </w:r>
    </w:p>
    <w:p w14:paraId="19429800" w14:textId="77777777" w:rsidR="00A57732" w:rsidRDefault="00A57732" w:rsidP="00A57732">
      <w:r>
        <w:t>cognitive, behavioural, and emotional consequences that lead to</w:t>
      </w:r>
    </w:p>
    <w:p w14:paraId="2ACE00AF" w14:textId="77777777" w:rsidR="00A57732" w:rsidRDefault="00A57732" w:rsidP="00A57732">
      <w:r>
        <w:t>severe drop in the overall quality of a patient’s life and everyday</w:t>
      </w:r>
    </w:p>
    <w:p w14:paraId="3BFCF465" w14:textId="77777777" w:rsidR="00A57732" w:rsidRDefault="00A57732" w:rsidP="00A57732">
      <w:r>
        <w:t>functioning. In that sense, TBI represents one of the critical</w:t>
      </w:r>
    </w:p>
    <w:p w14:paraId="723890B8" w14:textId="77777777" w:rsidR="00A57732" w:rsidRDefault="00A57732" w:rsidP="00A57732">
      <w:r>
        <w:t xml:space="preserve">issues in global public health and is opening </w:t>
      </w:r>
      <w:commentRangeStart w:id="0"/>
      <w:r>
        <w:t>a myriad of global</w:t>
      </w:r>
      <w:commentRangeEnd w:id="0"/>
      <w:r w:rsidR="00794DD4">
        <w:rPr>
          <w:rStyle w:val="Pripombasklic"/>
          <w:sz w:val="24"/>
          <w:szCs w:val="24"/>
        </w:rPr>
        <w:commentReference w:id="0"/>
      </w:r>
    </w:p>
    <w:p w14:paraId="7F14CE5D" w14:textId="77777777" w:rsidR="00A57732" w:rsidRDefault="00A57732" w:rsidP="00A57732">
      <w:r>
        <w:t>socio-economic questions (1, 2). While there is a substantial</w:t>
      </w:r>
    </w:p>
    <w:p w14:paraId="5C3DB8CC" w14:textId="77777777" w:rsidR="00A57732" w:rsidRDefault="00A57732" w:rsidP="00A57732">
      <w:r>
        <w:t>body of work that investigates predictors of cognitive recovery</w:t>
      </w:r>
    </w:p>
    <w:p w14:paraId="46E7636B" w14:textId="77777777" w:rsidR="00A57732" w:rsidRDefault="00A57732" w:rsidP="00A57732">
      <w:r>
        <w:t>on one hand, there is still very much unknown about protective</w:t>
      </w:r>
    </w:p>
    <w:p w14:paraId="35DDDCA2" w14:textId="77777777" w:rsidR="00A57732" w:rsidRDefault="00A57732" w:rsidP="00A57732">
      <w:r>
        <w:t>factors of optimal recovery. There is also growing evidence that</w:t>
      </w:r>
    </w:p>
    <w:p w14:paraId="1B6607BF" w14:textId="77777777" w:rsidR="00A57732" w:rsidRDefault="00A57732" w:rsidP="00A57732">
      <w:r>
        <w:t>certain patients with mild TBI experience diverse prolonged</w:t>
      </w:r>
    </w:p>
    <w:p w14:paraId="3443FC82" w14:textId="77777777" w:rsidR="00A57732" w:rsidRDefault="00A57732" w:rsidP="00A57732">
      <w:r>
        <w:t>symptoms months or years after the injury, while certain patients</w:t>
      </w:r>
    </w:p>
    <w:p w14:paraId="2F3AE410" w14:textId="77777777" w:rsidR="00A57732" w:rsidRDefault="00A57732" w:rsidP="00A57732">
      <w:r>
        <w:t>with moderate or even severe TBI can fully recover after the</w:t>
      </w:r>
    </w:p>
    <w:p w14:paraId="014C15AE" w14:textId="77777777" w:rsidR="00A57732" w:rsidRDefault="00A57732" w:rsidP="00A57732">
      <w:r>
        <w:t xml:space="preserve">injury (3, 4). Variability in recovery </w:t>
      </w:r>
      <w:commentRangeStart w:id="1"/>
      <w:r>
        <w:t xml:space="preserve">is also present </w:t>
      </w:r>
      <w:commentRangeEnd w:id="1"/>
      <w:r w:rsidR="00794DD4">
        <w:rPr>
          <w:rStyle w:val="Pripombasklic"/>
          <w:sz w:val="24"/>
          <w:szCs w:val="24"/>
        </w:rPr>
        <w:commentReference w:id="1"/>
      </w:r>
      <w:r>
        <w:t>in a group of</w:t>
      </w:r>
    </w:p>
    <w:p w14:paraId="5EE85BD9" w14:textId="77777777" w:rsidR="00A57732" w:rsidRDefault="00A57732" w:rsidP="00A57732">
      <w:r>
        <w:t>patients with the same degree of TBI severity (5, 6). That kind of</w:t>
      </w:r>
    </w:p>
    <w:p w14:paraId="1318710C" w14:textId="77777777" w:rsidR="00A57732" w:rsidRDefault="00A57732" w:rsidP="00A57732">
      <w:r>
        <w:t>data shows that investigating additional factors that could predict</w:t>
      </w:r>
    </w:p>
    <w:p w14:paraId="2BB596CD" w14:textId="77777777" w:rsidR="00A57732" w:rsidRDefault="00A57732" w:rsidP="00A57732">
      <w:r>
        <w:t>optimal recovery after TBI is still needed. In recent years, to find</w:t>
      </w:r>
    </w:p>
    <w:p w14:paraId="70670E36" w14:textId="77777777" w:rsidR="00A57732" w:rsidRDefault="00A57732" w:rsidP="00A57732">
      <w:r>
        <w:t>one such variable, researchers started investigating the role of</w:t>
      </w:r>
    </w:p>
    <w:p w14:paraId="3C99225B" w14:textId="77777777" w:rsidR="00A57732" w:rsidRDefault="00A57732" w:rsidP="00A57732">
      <w:r>
        <w:t>cognitive reserve (CR) in predicting recovery from TBI (7, 8).</w:t>
      </w:r>
    </w:p>
    <w:p w14:paraId="59C7D6E5" w14:textId="77777777" w:rsidR="00A57732" w:rsidRDefault="00A57732" w:rsidP="00A57732">
      <w:r>
        <w:t>The concept of CR was introduced by Stern (8) when the concept</w:t>
      </w:r>
    </w:p>
    <w:p w14:paraId="628C073A" w14:textId="77777777" w:rsidR="00A57732" w:rsidRDefault="00A57732" w:rsidP="00A57732">
      <w:r>
        <w:t>of brain reserve showed insufficient in explaining individual</w:t>
      </w:r>
    </w:p>
    <w:p w14:paraId="30FE1576" w14:textId="77777777" w:rsidR="00A57732" w:rsidRDefault="00A57732" w:rsidP="00A57732">
      <w:r>
        <w:t>differences in cognitive functioning and recovery in patients with</w:t>
      </w:r>
    </w:p>
    <w:p w14:paraId="1E8A1E18" w14:textId="77777777" w:rsidR="00A57732" w:rsidRDefault="00A57732" w:rsidP="00A57732">
      <w:r>
        <w:t>the same TBI severity (9, 10). While brain reserve accounts for</w:t>
      </w:r>
    </w:p>
    <w:p w14:paraId="33B14A79" w14:textId="77777777" w:rsidR="00A57732" w:rsidRDefault="00A57732" w:rsidP="00A57732">
      <w:r>
        <w:t>the gap between the extent of pathology and the extent of clinical</w:t>
      </w:r>
    </w:p>
    <w:p w14:paraId="3382CFEF" w14:textId="77777777" w:rsidR="00A57732" w:rsidRDefault="00A57732" w:rsidP="00A57732">
      <w:r>
        <w:t>change (10), it does not account for individual differences in how</w:t>
      </w:r>
    </w:p>
    <w:p w14:paraId="3C6FE4B5" w14:textId="77777777" w:rsidR="00A57732" w:rsidRDefault="00A57732" w:rsidP="00A57732">
      <w:r>
        <w:t>the brain processes cognitive or functional tasks during brain</w:t>
      </w:r>
    </w:p>
    <w:p w14:paraId="2BA5C846" w14:textId="77777777" w:rsidR="00A57732" w:rsidRDefault="00A57732" w:rsidP="00A57732">
      <w:r>
        <w:t>damage (11). On the other hand, CR is an active model of brain</w:t>
      </w:r>
    </w:p>
    <w:p w14:paraId="1200FB13" w14:textId="77777777" w:rsidR="00A57732" w:rsidRDefault="00A57732" w:rsidP="00A57732">
      <w:r>
        <w:t>plasticity. It assumes that the brain tries to actively cope with the</w:t>
      </w:r>
    </w:p>
    <w:p w14:paraId="4AACD2FB" w14:textId="77777777" w:rsidR="00A57732" w:rsidRDefault="00A57732" w:rsidP="00A57732">
      <w:r>
        <w:lastRenderedPageBreak/>
        <w:t>brain injury by mobilizing preexisting cognitive processes (neural</w:t>
      </w:r>
    </w:p>
    <w:p w14:paraId="6326C12C" w14:textId="77777777" w:rsidR="00A57732" w:rsidRDefault="00A57732" w:rsidP="00A57732">
      <w:r>
        <w:t>reserve) or enlisting compensatory strategies (neural compensation) (9, 11). Neural reserve explains individual differences in</w:t>
      </w:r>
    </w:p>
    <w:p w14:paraId="60CD9497" w14:textId="77777777" w:rsidR="00A57732" w:rsidRDefault="00A57732" w:rsidP="00A57732">
      <w:r>
        <w:t>cognitive processing in the normal healthy brain, while neural</w:t>
      </w:r>
    </w:p>
    <w:p w14:paraId="49CA5C5E" w14:textId="77777777" w:rsidR="00A57732" w:rsidRDefault="00A57732" w:rsidP="00A57732">
      <w:r>
        <w:t>compensation explains alterations in cognitive processing that may</w:t>
      </w:r>
    </w:p>
    <w:p w14:paraId="7346511F" w14:textId="77777777" w:rsidR="00A57732" w:rsidRDefault="00A57732" w:rsidP="00A57732">
      <w:r>
        <w:t>take place to cope with brain pathology (11). Individual differences</w:t>
      </w:r>
    </w:p>
    <w:p w14:paraId="6BA2FD55" w14:textId="77777777" w:rsidR="00A57732" w:rsidRDefault="00A57732" w:rsidP="00A57732">
      <w:r>
        <w:t>in CR arise from various factors, but most frequently studied in</w:t>
      </w:r>
    </w:p>
    <w:p w14:paraId="66DD9572" w14:textId="77777777" w:rsidR="00A57732" w:rsidRDefault="00A57732" w:rsidP="00A57732">
      <w:r>
        <w:t>existing literature are genetic factors and gained life experiences</w:t>
      </w:r>
    </w:p>
    <w:p w14:paraId="5DBB2216" w14:textId="77777777" w:rsidR="00A57732" w:rsidRDefault="00A57732" w:rsidP="00A57732">
      <w:r>
        <w:t>that include education, occupation, and leisure time (9 - 14). By</w:t>
      </w:r>
    </w:p>
    <w:p w14:paraId="6F178081" w14:textId="77777777" w:rsidR="00A57732" w:rsidRDefault="00A57732" w:rsidP="00A57732">
      <w:r>
        <w:t>far studies explored the role of CR in cognitive decline caused by</w:t>
      </w:r>
    </w:p>
    <w:p w14:paraId="73A9BEE2" w14:textId="77777777" w:rsidR="00A57732" w:rsidRDefault="00A57732" w:rsidP="00A57732">
      <w:r>
        <w:t>TBI (4, 7, 8, 15 - 22), or aging and neurodegenerative diseases</w:t>
      </w:r>
    </w:p>
    <w:p w14:paraId="520CE534" w14:textId="77777777" w:rsidR="00A57732" w:rsidRDefault="00A57732" w:rsidP="00A57732">
      <w:r>
        <w:t>like dementia and multiple sclerosis (10, 23 - 27).</w:t>
      </w:r>
    </w:p>
    <w:p w14:paraId="53C1D488" w14:textId="77777777" w:rsidR="00A57732" w:rsidRDefault="00A57732" w:rsidP="00A57732">
      <w:r>
        <w:t>Studies showed that individuals with higher CR recover faster and</w:t>
      </w:r>
    </w:p>
    <w:p w14:paraId="4E033AAD" w14:textId="77777777" w:rsidR="00A57732" w:rsidRDefault="00A57732" w:rsidP="00A57732">
      <w:r>
        <w:t>fuller after brain injury because they can activate compensatory</w:t>
      </w:r>
    </w:p>
    <w:p w14:paraId="6CEECD72" w14:textId="77777777" w:rsidR="00A57732" w:rsidRDefault="00A57732" w:rsidP="00A57732">
      <w:r>
        <w:t>or new brain networks (e. g. neuroplasticity) (8, 20, 25, 26, 28).</w:t>
      </w:r>
    </w:p>
    <w:p w14:paraId="204C7D03" w14:textId="77777777" w:rsidR="00A57732" w:rsidRDefault="00A57732" w:rsidP="00A57732">
      <w:r>
        <w:t>Higher CR was associated with a shorter period of hospitalization</w:t>
      </w:r>
    </w:p>
    <w:p w14:paraId="31649377" w14:textId="77777777" w:rsidR="00A57732" w:rsidRDefault="00A57732" w:rsidP="00A57732">
      <w:r>
        <w:t>(20), the earlier beginning of the rehabilitation program (15), and</w:t>
      </w:r>
    </w:p>
    <w:p w14:paraId="7A79F89F" w14:textId="77777777" w:rsidR="00A57732" w:rsidRDefault="00A57732" w:rsidP="00A57732">
      <w:r>
        <w:t>higher verbal comprehension, perceptual reasoning, working</w:t>
      </w:r>
    </w:p>
    <w:p w14:paraId="3443D509" w14:textId="77777777" w:rsidR="00A57732" w:rsidRDefault="00A57732" w:rsidP="00A57732">
      <w:r>
        <w:t>memory, and processing speed abilities after TBI (7).</w:t>
      </w:r>
    </w:p>
    <w:p w14:paraId="29509C0D" w14:textId="77777777" w:rsidR="00A57732" w:rsidRDefault="00A57732" w:rsidP="00A57732">
      <w:r>
        <w:t>CR is a theoretical concept that we measure indirectly through</w:t>
      </w:r>
    </w:p>
    <w:p w14:paraId="147F7A23" w14:textId="77777777" w:rsidR="00A57732" w:rsidRDefault="00A57732" w:rsidP="00A57732">
      <w:r>
        <w:t>various indicators (12). The most frequently studied indicators are</w:t>
      </w:r>
    </w:p>
    <w:p w14:paraId="797D5B44" w14:textId="77777777" w:rsidR="00A57732" w:rsidRDefault="00A57732" w:rsidP="00A57732">
      <w:r>
        <w:t>measures of premorbid IQ, educational and vocational attainment,</w:t>
      </w:r>
    </w:p>
    <w:p w14:paraId="592335A4" w14:textId="77777777" w:rsidR="00A57732" w:rsidRDefault="00A57732" w:rsidP="00A57732">
      <w:r>
        <w:t>and engagement in intellectual, social, and other leisure time</w:t>
      </w:r>
    </w:p>
    <w:p w14:paraId="36CDAAD2" w14:textId="77777777" w:rsidR="00A57732" w:rsidRDefault="00A57732" w:rsidP="00A57732">
      <w:r>
        <w:t>activities (9, 12, 14). There is a notion in existing studies for</w:t>
      </w:r>
    </w:p>
    <w:p w14:paraId="0B1F16C1" w14:textId="77777777" w:rsidR="00A57732" w:rsidRDefault="00A57732" w:rsidP="00A57732">
      <w:r>
        <w:t>developing standardised and composite estimates of CR (12,</w:t>
      </w:r>
    </w:p>
    <w:p w14:paraId="42B8A322" w14:textId="77777777" w:rsidR="00A57732" w:rsidRDefault="00A57732" w:rsidP="00A57732">
      <w:r>
        <w:t>20), and one such measure is the Cognitive Reserve Index Questionnaire (CRIq) (9). The questionnaire was standardised on</w:t>
      </w:r>
    </w:p>
    <w:p w14:paraId="405731F5" w14:textId="77777777" w:rsidR="00A57732" w:rsidRDefault="00A57732" w:rsidP="00A57732">
      <w:r>
        <w:t>the Italian population (9), and was used in studies of adults and</w:t>
      </w:r>
    </w:p>
    <w:p w14:paraId="6C245F57" w14:textId="77777777" w:rsidR="00A57732" w:rsidRDefault="00A57732" w:rsidP="00A57732">
      <w:r>
        <w:t>elderly people (29, 30). Studies have shown a correlation between</w:t>
      </w:r>
    </w:p>
    <w:p w14:paraId="4A6A768E" w14:textId="77777777" w:rsidR="00A57732" w:rsidRDefault="00A57732" w:rsidP="00A57732">
      <w:r>
        <w:lastRenderedPageBreak/>
        <w:t>MoCA and CRIq scores (31), which makes CRIq questionnaire</w:t>
      </w:r>
    </w:p>
    <w:p w14:paraId="7152F96E" w14:textId="77777777" w:rsidR="00A57732" w:rsidRDefault="00A57732" w:rsidP="00A57732">
      <w:r>
        <w:t>an additional measure in the process of dementia diagnosis when</w:t>
      </w:r>
    </w:p>
    <w:p w14:paraId="1737D49E" w14:textId="77777777" w:rsidR="00A57732" w:rsidRDefault="00A57732" w:rsidP="00A57732">
      <w:r>
        <w:t>it is compared to scores on tests of cognitive functions. Various</w:t>
      </w:r>
    </w:p>
    <w:p w14:paraId="53E47B5A" w14:textId="77777777" w:rsidR="00A57732" w:rsidRDefault="00A57732" w:rsidP="00A57732">
      <w:r>
        <w:t>studies reported that CRIq is a reliable and valid measure of</w:t>
      </w:r>
    </w:p>
    <w:p w14:paraId="7F5D103F" w14:textId="77777777" w:rsidR="00A57732" w:rsidRDefault="00A57732" w:rsidP="00A57732">
      <w:r>
        <w:t>CR (9, 32). While there is growing body of research done with</w:t>
      </w:r>
    </w:p>
    <w:p w14:paraId="304537F3" w14:textId="77777777" w:rsidR="00A57732" w:rsidRDefault="00A57732" w:rsidP="00A57732">
      <w:r>
        <w:t>CRIq on patients with neurodegenerative dieses, like dementia</w:t>
      </w:r>
    </w:p>
    <w:p w14:paraId="6A8030E1" w14:textId="77777777" w:rsidR="00A57732" w:rsidRDefault="00A57732" w:rsidP="00A57732">
      <w:r>
        <w:t>(29, 30, 33), it is not such case for studies on patients with TBI.</w:t>
      </w:r>
    </w:p>
    <w:p w14:paraId="52E00C24" w14:textId="77777777" w:rsidR="00A57732" w:rsidRDefault="00A57732" w:rsidP="00A57732">
      <w:r>
        <w:t>Bertoni and colleagues (15) evaluated predictor value of CRIq in</w:t>
      </w:r>
    </w:p>
    <w:p w14:paraId="783EAA33" w14:textId="77777777" w:rsidR="00A57732" w:rsidRDefault="00A57732" w:rsidP="00A57732">
      <w:r>
        <w:t>predicting neuropsychological recovery in patients with severe</w:t>
      </w:r>
    </w:p>
    <w:p w14:paraId="171460AA" w14:textId="77777777" w:rsidR="00A57732" w:rsidRDefault="00A57732" w:rsidP="00A57732">
      <w:r>
        <w:t>TBI, and while they did find a significant negative correlation</w:t>
      </w:r>
    </w:p>
    <w:p w14:paraId="5B55EC0F" w14:textId="03CD103C" w:rsidR="008640D5" w:rsidRDefault="00A57732" w:rsidP="00A57732">
      <w:r>
        <w:t>between CRIq scores and the interval elapsing before first access</w:t>
      </w:r>
    </w:p>
    <w:sectPr w:rsidR="00864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Urška Rizmal" w:date="2026-07-20T10:27:00Z" w:initials="UR">
    <w:p w14:paraId="7F39E363" w14:textId="77777777" w:rsidR="00794DD4" w:rsidRDefault="00794DD4" w:rsidP="00794DD4">
      <w:pPr>
        <w:pStyle w:val="Pripombabesedilo"/>
      </w:pPr>
      <w:r>
        <w:rPr>
          <w:rStyle w:val="Pripombasklic"/>
        </w:rPr>
        <w:annotationRef/>
      </w:r>
      <w:r>
        <w:t>Popravi vir</w:t>
      </w:r>
    </w:p>
  </w:comment>
  <w:comment w:id="1" w:author="Urška Rizmal" w:date="2026-07-20T10:27:00Z" w:initials="UR">
    <w:p w14:paraId="18B587EA" w14:textId="77777777" w:rsidR="00794DD4" w:rsidRDefault="00794DD4" w:rsidP="00794DD4">
      <w:pPr>
        <w:pStyle w:val="Pripombabesedilo"/>
      </w:pPr>
      <w:r>
        <w:rPr>
          <w:rStyle w:val="Pripombasklic"/>
        </w:rPr>
        <w:annotationRef/>
      </w:r>
      <w:r>
        <w:t>Slab prevod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F39E363" w15:done="0"/>
  <w15:commentEx w15:paraId="18B587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BF6BF2" w16cex:dateUtc="2026-07-20T08:27:00Z"/>
  <w16cex:commentExtensible w16cex:durableId="076D8D72" w16cex:dateUtc="2026-07-20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39E363" w16cid:durableId="4EBF6BF2"/>
  <w16cid:commentId w16cid:paraId="18B587EA" w16cid:durableId="076D8D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rška Rizmal">
    <w15:presenceInfo w15:providerId="AD" w15:userId="S-1-5-21-1119494295-1397051868-817656539-13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32"/>
    <w:rsid w:val="00794DD4"/>
    <w:rsid w:val="008640D5"/>
    <w:rsid w:val="00A57732"/>
    <w:rsid w:val="00AA72D1"/>
    <w:rsid w:val="00C41769"/>
    <w:rsid w:val="00CE59FA"/>
    <w:rsid w:val="00D9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5C60"/>
  <w15:chartTrackingRefBased/>
  <w15:docId w15:val="{876D7E9F-D48D-433C-B907-BC037F76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57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57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57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57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57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57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57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57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57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57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57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57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5773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5773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577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5773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577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577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57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57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57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57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57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5773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5773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5773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57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5773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57732"/>
    <w:rPr>
      <w:b/>
      <w:bCs/>
      <w:smallCaps/>
      <w:color w:val="2F5496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794DD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94DD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94DD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94D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94D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Rizmal</dc:creator>
  <cp:keywords/>
  <dc:description/>
  <cp:lastModifiedBy>Urška Rizmal</cp:lastModifiedBy>
  <cp:revision>3</cp:revision>
  <dcterms:created xsi:type="dcterms:W3CDTF">2026-07-20T06:37:00Z</dcterms:created>
  <dcterms:modified xsi:type="dcterms:W3CDTF">2026-07-20T08:27:00Z</dcterms:modified>
</cp:coreProperties>
</file>